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0A6C" w14:textId="77777777" w:rsidR="00B746E0" w:rsidRPr="00B746E0" w:rsidRDefault="00B746E0" w:rsidP="00B746E0">
      <w:pPr>
        <w:shd w:val="clear" w:color="auto" w:fill="FFFFFF"/>
        <w:spacing w:after="100" w:afterAutospacing="1" w:line="240" w:lineRule="auto"/>
        <w:jc w:val="center"/>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b/>
          <w:bCs/>
          <w:color w:val="000000"/>
          <w:kern w:val="0"/>
          <w14:ligatures w14:val="none"/>
        </w:rPr>
        <w:t>CHAPTER TWO</w:t>
      </w:r>
      <w:r w:rsidRPr="00B746E0">
        <w:rPr>
          <w:rFonts w:ascii="Times New Roman" w:eastAsia="Times New Roman" w:hAnsi="Times New Roman" w:cs="Times New Roman"/>
          <w:b/>
          <w:bCs/>
          <w:color w:val="000000"/>
          <w:kern w:val="0"/>
          <w14:ligatures w14:val="none"/>
        </w:rPr>
        <w:br/>
        <w:t>GOD CHOOSES THE POOR</w:t>
      </w:r>
    </w:p>
    <w:p w14:paraId="2A3EAEAC"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i/>
          <w:iCs/>
          <w:color w:val="000000"/>
          <w:kern w:val="0"/>
          <w14:ligatures w14:val="none"/>
        </w:rPr>
        <w:t>The choice of the poor</w:t>
      </w:r>
    </w:p>
    <w:p w14:paraId="41BFC35E"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16. God is merciful love, and his plan of love, which unfolds and is fulfilled in history, is above all his descent and coming among us to free us from slavery, fear, sin and the power of death. Addressing their human condition with a merciful gaze and a heart full of love, he turned to his creatures and thus took care of their poverty. Precisely in order to share the limitations and fragility of our human nature, he himself became poor and was born in the flesh like us. We came to know him in the smallness of a child laid in a manger and in the extreme humiliation of the cross, where he shared our radical poverty, which is death. It is easy to understand, then, why we can also speak theologically of a preferential option on the part of God for the poor, an expression that arose in the context of the Latin American continent and in particular in the Puebla Assembly, but which has been well integrated into subsequent teachings of the Church. </w:t>
      </w:r>
      <w:bookmarkStart w:id="0" w:name="_ftnref12"/>
      <w:r w:rsidRPr="00B746E0">
        <w:rPr>
          <w:rFonts w:ascii="Times New Roman" w:eastAsia="Times New Roman" w:hAnsi="Times New Roman" w:cs="Times New Roman"/>
          <w:color w:val="000000"/>
          <w:kern w:val="0"/>
          <w14:ligatures w14:val="none"/>
        </w:rPr>
        <w:fldChar w:fldCharType="begin"/>
      </w:r>
      <w:r w:rsidRPr="00B746E0">
        <w:rPr>
          <w:rFonts w:ascii="Times New Roman" w:eastAsia="Times New Roman" w:hAnsi="Times New Roman" w:cs="Times New Roman"/>
          <w:color w:val="000000"/>
          <w:kern w:val="0"/>
          <w14:ligatures w14:val="none"/>
        </w:rPr>
        <w:instrText>HYPERLINK "https://www.vatican.va/content/leo-xiv/en/apost_exhortations/documents/20251004-dilexi-te.html" \l "_ftn12"</w:instrText>
      </w:r>
      <w:r w:rsidRPr="00B746E0">
        <w:rPr>
          <w:rFonts w:ascii="Times New Roman" w:eastAsia="Times New Roman" w:hAnsi="Times New Roman" w:cs="Times New Roman"/>
          <w:color w:val="000000"/>
          <w:kern w:val="0"/>
          <w14:ligatures w14:val="none"/>
        </w:rPr>
      </w:r>
      <w:r w:rsidRPr="00B746E0">
        <w:rPr>
          <w:rFonts w:ascii="Times New Roman" w:eastAsia="Times New Roman" w:hAnsi="Times New Roman" w:cs="Times New Roman"/>
          <w:color w:val="000000"/>
          <w:kern w:val="0"/>
          <w14:ligatures w14:val="none"/>
        </w:rPr>
        <w:fldChar w:fldCharType="separate"/>
      </w:r>
      <w:r w:rsidRPr="00B746E0">
        <w:rPr>
          <w:rFonts w:ascii="Times New Roman" w:eastAsia="Times New Roman" w:hAnsi="Times New Roman" w:cs="Times New Roman"/>
          <w:color w:val="765E32"/>
          <w:kern w:val="0"/>
          <w:u w:val="single"/>
          <w14:ligatures w14:val="none"/>
        </w:rPr>
        <w:t>[12]</w:t>
      </w:r>
      <w:r w:rsidRPr="00B746E0">
        <w:rPr>
          <w:rFonts w:ascii="Times New Roman" w:eastAsia="Times New Roman" w:hAnsi="Times New Roman" w:cs="Times New Roman"/>
          <w:color w:val="000000"/>
          <w:kern w:val="0"/>
          <w14:ligatures w14:val="none"/>
        </w:rPr>
        <w:fldChar w:fldCharType="end"/>
      </w:r>
      <w:bookmarkEnd w:id="0"/>
      <w:r w:rsidRPr="00B746E0">
        <w:rPr>
          <w:rFonts w:ascii="Times New Roman" w:eastAsia="Times New Roman" w:hAnsi="Times New Roman" w:cs="Times New Roman"/>
          <w:color w:val="000000"/>
          <w:kern w:val="0"/>
          <w14:ligatures w14:val="none"/>
        </w:rPr>
        <w:t> This “preference” never indicates exclusivity or discrimination towards other groups, which would be impossible for God. It is meant to emphasize God’s actions, which are moved by compassion toward the poverty and weakness of all humanity. Wanting to inaugurate a kingdom of justice, fraternity and solidarity, God has a special place in his heart for those who are discriminated against and oppressed, and he asks us, his Church, to make a decisive and radical choice in favor of the weakest.</w:t>
      </w:r>
    </w:p>
    <w:p w14:paraId="74B6C08A"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17. It is in this perspective that we can understand the numerous pages of the Old Testament in which God is presented as the friend and liberator of the poor, the one who hears the cry of the poor and intervenes to free them (cf. </w:t>
      </w:r>
      <w:r w:rsidRPr="00B746E0">
        <w:rPr>
          <w:rFonts w:ascii="Times New Roman" w:eastAsia="Times New Roman" w:hAnsi="Times New Roman" w:cs="Times New Roman"/>
          <w:i/>
          <w:iCs/>
          <w:color w:val="000000"/>
          <w:kern w:val="0"/>
          <w14:ligatures w14:val="none"/>
        </w:rPr>
        <w:t>Ps</w:t>
      </w:r>
      <w:r w:rsidRPr="00B746E0">
        <w:rPr>
          <w:rFonts w:ascii="Times New Roman" w:eastAsia="Times New Roman" w:hAnsi="Times New Roman" w:cs="Times New Roman"/>
          <w:color w:val="000000"/>
          <w:kern w:val="0"/>
          <w14:ligatures w14:val="none"/>
        </w:rPr>
        <w:t> 34:7). God, the refuge of the poor, denounces through the prophets — we recall in particular Amos and Isaiah — the injustices committed against the weakest, and exhorts Israel to renew its worship from within, because one cannot pray and offer sacrifice while oppressing the weakest and poorest. From the beginning of Scripture, God’s love is vividly demonstrated by his protection of the weak and the poor, to the extent that he can be said to have a particular fondness for them. “God’s heart has a special place for the poor... The entire history of our redemption is marked by the presence of the poor.” </w:t>
      </w:r>
      <w:bookmarkStart w:id="1" w:name="_ftnref13"/>
      <w:r w:rsidRPr="00B746E0">
        <w:rPr>
          <w:rFonts w:ascii="Times New Roman" w:eastAsia="Times New Roman" w:hAnsi="Times New Roman" w:cs="Times New Roman"/>
          <w:color w:val="000000"/>
          <w:kern w:val="0"/>
          <w14:ligatures w14:val="none"/>
        </w:rPr>
        <w:fldChar w:fldCharType="begin"/>
      </w:r>
      <w:r w:rsidRPr="00B746E0">
        <w:rPr>
          <w:rFonts w:ascii="Times New Roman" w:eastAsia="Times New Roman" w:hAnsi="Times New Roman" w:cs="Times New Roman"/>
          <w:color w:val="000000"/>
          <w:kern w:val="0"/>
          <w14:ligatures w14:val="none"/>
        </w:rPr>
        <w:instrText>HYPERLINK "https://www.vatican.va/content/leo-xiv/en/apost_exhortations/documents/20251004-dilexi-te.html" \l "_ftn13"</w:instrText>
      </w:r>
      <w:r w:rsidRPr="00B746E0">
        <w:rPr>
          <w:rFonts w:ascii="Times New Roman" w:eastAsia="Times New Roman" w:hAnsi="Times New Roman" w:cs="Times New Roman"/>
          <w:color w:val="000000"/>
          <w:kern w:val="0"/>
          <w14:ligatures w14:val="none"/>
        </w:rPr>
      </w:r>
      <w:r w:rsidRPr="00B746E0">
        <w:rPr>
          <w:rFonts w:ascii="Times New Roman" w:eastAsia="Times New Roman" w:hAnsi="Times New Roman" w:cs="Times New Roman"/>
          <w:color w:val="000000"/>
          <w:kern w:val="0"/>
          <w14:ligatures w14:val="none"/>
        </w:rPr>
        <w:fldChar w:fldCharType="separate"/>
      </w:r>
      <w:r w:rsidRPr="00B746E0">
        <w:rPr>
          <w:rFonts w:ascii="Times New Roman" w:eastAsia="Times New Roman" w:hAnsi="Times New Roman" w:cs="Times New Roman"/>
          <w:color w:val="765E32"/>
          <w:kern w:val="0"/>
          <w:u w:val="single"/>
          <w14:ligatures w14:val="none"/>
        </w:rPr>
        <w:t>[13]</w:t>
      </w:r>
      <w:r w:rsidRPr="00B746E0">
        <w:rPr>
          <w:rFonts w:ascii="Times New Roman" w:eastAsia="Times New Roman" w:hAnsi="Times New Roman" w:cs="Times New Roman"/>
          <w:color w:val="000000"/>
          <w:kern w:val="0"/>
          <w14:ligatures w14:val="none"/>
        </w:rPr>
        <w:fldChar w:fldCharType="end"/>
      </w:r>
      <w:bookmarkEnd w:id="1"/>
    </w:p>
    <w:p w14:paraId="220574B5"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i/>
          <w:iCs/>
          <w:color w:val="000000"/>
          <w:kern w:val="0"/>
          <w14:ligatures w14:val="none"/>
        </w:rPr>
        <w:t>Jesus, the poor Messiah</w:t>
      </w:r>
    </w:p>
    <w:p w14:paraId="465AFFEC"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18. The Old Testament history of God’s preferential love for the poor and his readiness to hear their cry — to which I have briefly alluded — comes to fulfillment in Jesus of Nazareth. </w:t>
      </w:r>
      <w:bookmarkStart w:id="2" w:name="_ftnref14"/>
      <w:r w:rsidRPr="00B746E0">
        <w:rPr>
          <w:rFonts w:ascii="Times New Roman" w:eastAsia="Times New Roman" w:hAnsi="Times New Roman" w:cs="Times New Roman"/>
          <w:color w:val="000000"/>
          <w:kern w:val="0"/>
          <w14:ligatures w14:val="none"/>
        </w:rPr>
        <w:fldChar w:fldCharType="begin"/>
      </w:r>
      <w:r w:rsidRPr="00B746E0">
        <w:rPr>
          <w:rFonts w:ascii="Times New Roman" w:eastAsia="Times New Roman" w:hAnsi="Times New Roman" w:cs="Times New Roman"/>
          <w:color w:val="000000"/>
          <w:kern w:val="0"/>
          <w14:ligatures w14:val="none"/>
        </w:rPr>
        <w:instrText>HYPERLINK "https://www.vatican.va/content/leo-xiv/en/apost_exhortations/documents/20251004-dilexi-te.html" \l "_ftn14"</w:instrText>
      </w:r>
      <w:r w:rsidRPr="00B746E0">
        <w:rPr>
          <w:rFonts w:ascii="Times New Roman" w:eastAsia="Times New Roman" w:hAnsi="Times New Roman" w:cs="Times New Roman"/>
          <w:color w:val="000000"/>
          <w:kern w:val="0"/>
          <w14:ligatures w14:val="none"/>
        </w:rPr>
      </w:r>
      <w:r w:rsidRPr="00B746E0">
        <w:rPr>
          <w:rFonts w:ascii="Times New Roman" w:eastAsia="Times New Roman" w:hAnsi="Times New Roman" w:cs="Times New Roman"/>
          <w:color w:val="000000"/>
          <w:kern w:val="0"/>
          <w14:ligatures w14:val="none"/>
        </w:rPr>
        <w:fldChar w:fldCharType="separate"/>
      </w:r>
      <w:r w:rsidRPr="00B746E0">
        <w:rPr>
          <w:rFonts w:ascii="Times New Roman" w:eastAsia="Times New Roman" w:hAnsi="Times New Roman" w:cs="Times New Roman"/>
          <w:color w:val="765E32"/>
          <w:kern w:val="0"/>
          <w:u w:val="single"/>
          <w14:ligatures w14:val="none"/>
        </w:rPr>
        <w:t>[14]</w:t>
      </w:r>
      <w:r w:rsidRPr="00B746E0">
        <w:rPr>
          <w:rFonts w:ascii="Times New Roman" w:eastAsia="Times New Roman" w:hAnsi="Times New Roman" w:cs="Times New Roman"/>
          <w:color w:val="000000"/>
          <w:kern w:val="0"/>
          <w14:ligatures w14:val="none"/>
        </w:rPr>
        <w:fldChar w:fldCharType="end"/>
      </w:r>
      <w:bookmarkEnd w:id="2"/>
      <w:r w:rsidRPr="00B746E0">
        <w:rPr>
          <w:rFonts w:ascii="Times New Roman" w:eastAsia="Times New Roman" w:hAnsi="Times New Roman" w:cs="Times New Roman"/>
          <w:color w:val="000000"/>
          <w:kern w:val="0"/>
          <w14:ligatures w14:val="none"/>
        </w:rPr>
        <w:t> By his Incarnation, he “emptied himself, taking the form of a slave, being born in human likeness” ( </w:t>
      </w:r>
      <w:r w:rsidRPr="00B746E0">
        <w:rPr>
          <w:rFonts w:ascii="Times New Roman" w:eastAsia="Times New Roman" w:hAnsi="Times New Roman" w:cs="Times New Roman"/>
          <w:i/>
          <w:iCs/>
          <w:color w:val="000000"/>
          <w:kern w:val="0"/>
          <w14:ligatures w14:val="none"/>
        </w:rPr>
        <w:t>Phil </w:t>
      </w:r>
      <w:r w:rsidRPr="00B746E0">
        <w:rPr>
          <w:rFonts w:ascii="Times New Roman" w:eastAsia="Times New Roman" w:hAnsi="Times New Roman" w:cs="Times New Roman"/>
          <w:color w:val="000000"/>
          <w:kern w:val="0"/>
          <w14:ligatures w14:val="none"/>
        </w:rPr>
        <w:t>2:7), and in that form he brought us salvation. His was a radical poverty, grounded in his mission to reveal fully God’s love for us (cf. </w:t>
      </w:r>
      <w:r w:rsidRPr="00B746E0">
        <w:rPr>
          <w:rFonts w:ascii="Times New Roman" w:eastAsia="Times New Roman" w:hAnsi="Times New Roman" w:cs="Times New Roman"/>
          <w:i/>
          <w:iCs/>
          <w:color w:val="000000"/>
          <w:kern w:val="0"/>
          <w14:ligatures w14:val="none"/>
        </w:rPr>
        <w:t>Jn </w:t>
      </w:r>
      <w:r w:rsidRPr="00B746E0">
        <w:rPr>
          <w:rFonts w:ascii="Times New Roman" w:eastAsia="Times New Roman" w:hAnsi="Times New Roman" w:cs="Times New Roman"/>
          <w:color w:val="000000"/>
          <w:kern w:val="0"/>
          <w14:ligatures w14:val="none"/>
        </w:rPr>
        <w:t>1:18; </w:t>
      </w:r>
      <w:r w:rsidRPr="00B746E0">
        <w:rPr>
          <w:rFonts w:ascii="Times New Roman" w:eastAsia="Times New Roman" w:hAnsi="Times New Roman" w:cs="Times New Roman"/>
          <w:i/>
          <w:iCs/>
          <w:color w:val="000000"/>
          <w:kern w:val="0"/>
          <w14:ligatures w14:val="none"/>
        </w:rPr>
        <w:t>1 Jn </w:t>
      </w:r>
      <w:r w:rsidRPr="00B746E0">
        <w:rPr>
          <w:rFonts w:ascii="Times New Roman" w:eastAsia="Times New Roman" w:hAnsi="Times New Roman" w:cs="Times New Roman"/>
          <w:color w:val="000000"/>
          <w:kern w:val="0"/>
          <w14:ligatures w14:val="none"/>
        </w:rPr>
        <w:t>4:9). As </w:t>
      </w:r>
      <w:hyperlink r:id="rId4" w:history="1">
        <w:r w:rsidRPr="00B746E0">
          <w:rPr>
            <w:rFonts w:ascii="Times New Roman" w:eastAsia="Times New Roman" w:hAnsi="Times New Roman" w:cs="Times New Roman"/>
            <w:color w:val="765E32"/>
            <w:kern w:val="0"/>
            <w:u w:val="single"/>
            <w14:ligatures w14:val="none"/>
          </w:rPr>
          <w:t>Saint Paul</w:t>
        </w:r>
      </w:hyperlink>
      <w:r w:rsidRPr="00B746E0">
        <w:rPr>
          <w:rFonts w:ascii="Times New Roman" w:eastAsia="Times New Roman" w:hAnsi="Times New Roman" w:cs="Times New Roman"/>
          <w:color w:val="000000"/>
          <w:kern w:val="0"/>
          <w14:ligatures w14:val="none"/>
        </w:rPr>
        <w:t> puts it in his customarily brief but striking manner: “You know well the grace of our Lord Jesus Christ, that though he was rich, yet for your sakes he became poor, so that by his poverty you might become rich” ( </w:t>
      </w:r>
      <w:r w:rsidRPr="00B746E0">
        <w:rPr>
          <w:rFonts w:ascii="Times New Roman" w:eastAsia="Times New Roman" w:hAnsi="Times New Roman" w:cs="Times New Roman"/>
          <w:i/>
          <w:iCs/>
          <w:color w:val="000000"/>
          <w:kern w:val="0"/>
          <w14:ligatures w14:val="none"/>
        </w:rPr>
        <w:t>2 Cor </w:t>
      </w:r>
      <w:r w:rsidRPr="00B746E0">
        <w:rPr>
          <w:rFonts w:ascii="Times New Roman" w:eastAsia="Times New Roman" w:hAnsi="Times New Roman" w:cs="Times New Roman"/>
          <w:color w:val="000000"/>
          <w:kern w:val="0"/>
          <w14:ligatures w14:val="none"/>
        </w:rPr>
        <w:t>8:9).</w:t>
      </w:r>
    </w:p>
    <w:p w14:paraId="2C18D51B"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 xml:space="preserve">19. The Gospel shows us that poverty marked every aspect of Jesus’ life. From the moment he entered the world, Jesus knew the bitter experience of rejection. The Evangelist Luke tells how Joseph and Mary, who was about to give birth, arrived in Bethlehem, and then adds, poignantly, </w:t>
      </w:r>
      <w:r w:rsidRPr="00B746E0">
        <w:rPr>
          <w:rFonts w:ascii="Times New Roman" w:eastAsia="Times New Roman" w:hAnsi="Times New Roman" w:cs="Times New Roman"/>
          <w:color w:val="000000"/>
          <w:kern w:val="0"/>
          <w14:ligatures w14:val="none"/>
        </w:rPr>
        <w:lastRenderedPageBreak/>
        <w:t>that “there was no place for them in the inn” (</w:t>
      </w:r>
      <w:r w:rsidRPr="00B746E0">
        <w:rPr>
          <w:rFonts w:ascii="Times New Roman" w:eastAsia="Times New Roman" w:hAnsi="Times New Roman" w:cs="Times New Roman"/>
          <w:i/>
          <w:iCs/>
          <w:color w:val="000000"/>
          <w:kern w:val="0"/>
          <w14:ligatures w14:val="none"/>
        </w:rPr>
        <w:t>Lk </w:t>
      </w:r>
      <w:r w:rsidRPr="00B746E0">
        <w:rPr>
          <w:rFonts w:ascii="Times New Roman" w:eastAsia="Times New Roman" w:hAnsi="Times New Roman" w:cs="Times New Roman"/>
          <w:color w:val="000000"/>
          <w:kern w:val="0"/>
          <w14:ligatures w14:val="none"/>
        </w:rPr>
        <w:t>2:7). Jesus was born in humble surroundings and laid in a manger; then, to save him from being killed, they fled to Egypt (cf. </w:t>
      </w:r>
      <w:r w:rsidRPr="00B746E0">
        <w:rPr>
          <w:rFonts w:ascii="Times New Roman" w:eastAsia="Times New Roman" w:hAnsi="Times New Roman" w:cs="Times New Roman"/>
          <w:i/>
          <w:iCs/>
          <w:color w:val="000000"/>
          <w:kern w:val="0"/>
          <w14:ligatures w14:val="none"/>
        </w:rPr>
        <w:t>Mt </w:t>
      </w:r>
      <w:r w:rsidRPr="00B746E0">
        <w:rPr>
          <w:rFonts w:ascii="Times New Roman" w:eastAsia="Times New Roman" w:hAnsi="Times New Roman" w:cs="Times New Roman"/>
          <w:color w:val="000000"/>
          <w:kern w:val="0"/>
          <w14:ligatures w14:val="none"/>
        </w:rPr>
        <w:t>2:13-15). At the dawn of his public ministry, after announcing in the synagogue of Nazareth that the year of grace which would bring joy to the poor was fulfilled in him, he was driven out of town (cf</w:t>
      </w:r>
      <w:r w:rsidRPr="00B746E0">
        <w:rPr>
          <w:rFonts w:ascii="Times New Roman" w:eastAsia="Times New Roman" w:hAnsi="Times New Roman" w:cs="Times New Roman"/>
          <w:i/>
          <w:iCs/>
          <w:color w:val="000000"/>
          <w:kern w:val="0"/>
          <w14:ligatures w14:val="none"/>
        </w:rPr>
        <w:t>. Lk </w:t>
      </w:r>
      <w:r w:rsidRPr="00B746E0">
        <w:rPr>
          <w:rFonts w:ascii="Times New Roman" w:eastAsia="Times New Roman" w:hAnsi="Times New Roman" w:cs="Times New Roman"/>
          <w:color w:val="000000"/>
          <w:kern w:val="0"/>
          <w14:ligatures w14:val="none"/>
        </w:rPr>
        <w:t>4:14-30). He died as an outcast, led out of Jerusalem to be crucified (cf</w:t>
      </w:r>
      <w:r w:rsidRPr="00B746E0">
        <w:rPr>
          <w:rFonts w:ascii="Times New Roman" w:eastAsia="Times New Roman" w:hAnsi="Times New Roman" w:cs="Times New Roman"/>
          <w:i/>
          <w:iCs/>
          <w:color w:val="000000"/>
          <w:kern w:val="0"/>
          <w14:ligatures w14:val="none"/>
        </w:rPr>
        <w:t>. Mk </w:t>
      </w:r>
      <w:r w:rsidRPr="00B746E0">
        <w:rPr>
          <w:rFonts w:ascii="Times New Roman" w:eastAsia="Times New Roman" w:hAnsi="Times New Roman" w:cs="Times New Roman"/>
          <w:color w:val="000000"/>
          <w:kern w:val="0"/>
          <w14:ligatures w14:val="none"/>
        </w:rPr>
        <w:t>15:22). Indeed, that is how Jesus’ poverty is best described: he experienced the same exclusion that is the lot of the poor, the outcast of society. Jesus is a manifestation of this </w:t>
      </w:r>
      <w:r w:rsidRPr="00B746E0">
        <w:rPr>
          <w:rFonts w:ascii="Times New Roman" w:eastAsia="Times New Roman" w:hAnsi="Times New Roman" w:cs="Times New Roman"/>
          <w:i/>
          <w:iCs/>
          <w:color w:val="000000"/>
          <w:kern w:val="0"/>
          <w14:ligatures w14:val="none"/>
        </w:rPr>
        <w:t>privilegium pauperum</w:t>
      </w:r>
      <w:r w:rsidRPr="00B746E0">
        <w:rPr>
          <w:rFonts w:ascii="Times New Roman" w:eastAsia="Times New Roman" w:hAnsi="Times New Roman" w:cs="Times New Roman"/>
          <w:color w:val="000000"/>
          <w:kern w:val="0"/>
          <w14:ligatures w14:val="none"/>
        </w:rPr>
        <w:t>. He presented himself to the world not only as a poor Messiah, but also as the Messiah of and for the poor.</w:t>
      </w:r>
    </w:p>
    <w:p w14:paraId="4FB43484"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20. There are some clues about Jesus’ social status. First of all, he worked as a craftsman or carpenter, </w:t>
      </w:r>
      <w:r w:rsidRPr="00B746E0">
        <w:rPr>
          <w:rFonts w:ascii="Times New Roman" w:eastAsia="Times New Roman" w:hAnsi="Times New Roman" w:cs="Times New Roman"/>
          <w:i/>
          <w:iCs/>
          <w:color w:val="000000"/>
          <w:kern w:val="0"/>
          <w14:ligatures w14:val="none"/>
        </w:rPr>
        <w:t>téktōn</w:t>
      </w:r>
      <w:r w:rsidRPr="00B746E0">
        <w:rPr>
          <w:rFonts w:ascii="Times New Roman" w:eastAsia="Times New Roman" w:hAnsi="Times New Roman" w:cs="Times New Roman"/>
          <w:color w:val="000000"/>
          <w:kern w:val="0"/>
          <w14:ligatures w14:val="none"/>
        </w:rPr>
        <w:t> (cf. </w:t>
      </w:r>
      <w:r w:rsidRPr="00B746E0">
        <w:rPr>
          <w:rFonts w:ascii="Times New Roman" w:eastAsia="Times New Roman" w:hAnsi="Times New Roman" w:cs="Times New Roman"/>
          <w:i/>
          <w:iCs/>
          <w:color w:val="000000"/>
          <w:kern w:val="0"/>
          <w14:ligatures w14:val="none"/>
        </w:rPr>
        <w:t>Mk</w:t>
      </w:r>
      <w:r w:rsidRPr="00B746E0">
        <w:rPr>
          <w:rFonts w:ascii="Times New Roman" w:eastAsia="Times New Roman" w:hAnsi="Times New Roman" w:cs="Times New Roman"/>
          <w:color w:val="000000"/>
          <w:kern w:val="0"/>
          <w14:ligatures w14:val="none"/>
        </w:rPr>
        <w:t> 6:3). These were people who earned their living by manual labor. Not owning land, they were considered inferior to farmers. When the baby Jesus was presented in the Temple by Joseph and Mary, his parents offered a pair of turtledoves or pigeons (cf. </w:t>
      </w:r>
      <w:r w:rsidRPr="00B746E0">
        <w:rPr>
          <w:rFonts w:ascii="Times New Roman" w:eastAsia="Times New Roman" w:hAnsi="Times New Roman" w:cs="Times New Roman"/>
          <w:i/>
          <w:iCs/>
          <w:color w:val="000000"/>
          <w:kern w:val="0"/>
          <w14:ligatures w14:val="none"/>
        </w:rPr>
        <w:t>Lk</w:t>
      </w:r>
      <w:r w:rsidRPr="00B746E0">
        <w:rPr>
          <w:rFonts w:ascii="Times New Roman" w:eastAsia="Times New Roman" w:hAnsi="Times New Roman" w:cs="Times New Roman"/>
          <w:color w:val="000000"/>
          <w:kern w:val="0"/>
          <w14:ligatures w14:val="none"/>
        </w:rPr>
        <w:t> 2:22-24), which according to the prescriptions of the Book of Leviticus (cf. 12:8) was the offering of the poor. A fairly significant episode in the Gospel tells us how Jesus, together with his disciples, gathered heads of grain to eat as they passed through the fields (cf. </w:t>
      </w:r>
      <w:r w:rsidRPr="00B746E0">
        <w:rPr>
          <w:rFonts w:ascii="Times New Roman" w:eastAsia="Times New Roman" w:hAnsi="Times New Roman" w:cs="Times New Roman"/>
          <w:i/>
          <w:iCs/>
          <w:color w:val="000000"/>
          <w:kern w:val="0"/>
          <w14:ligatures w14:val="none"/>
        </w:rPr>
        <w:t>Mk</w:t>
      </w:r>
      <w:r w:rsidRPr="00B746E0">
        <w:rPr>
          <w:rFonts w:ascii="Times New Roman" w:eastAsia="Times New Roman" w:hAnsi="Times New Roman" w:cs="Times New Roman"/>
          <w:color w:val="000000"/>
          <w:kern w:val="0"/>
          <w14:ligatures w14:val="none"/>
        </w:rPr>
        <w:t> 2:23-28). Only the poor were allowed to do this gleaning in the fields. Moreover, Jesus says of himself: “Foxes have holes, and birds of the air have nests; but the Son of Man has nowhere to lay his head” (</w:t>
      </w:r>
      <w:r w:rsidRPr="00B746E0">
        <w:rPr>
          <w:rFonts w:ascii="Times New Roman" w:eastAsia="Times New Roman" w:hAnsi="Times New Roman" w:cs="Times New Roman"/>
          <w:i/>
          <w:iCs/>
          <w:color w:val="000000"/>
          <w:kern w:val="0"/>
          <w14:ligatures w14:val="none"/>
        </w:rPr>
        <w:t>Mt</w:t>
      </w:r>
      <w:r w:rsidRPr="00B746E0">
        <w:rPr>
          <w:rFonts w:ascii="Times New Roman" w:eastAsia="Times New Roman" w:hAnsi="Times New Roman" w:cs="Times New Roman"/>
          <w:color w:val="000000"/>
          <w:kern w:val="0"/>
          <w14:ligatures w14:val="none"/>
        </w:rPr>
        <w:t> 8:20; </w:t>
      </w:r>
      <w:r w:rsidRPr="00B746E0">
        <w:rPr>
          <w:rFonts w:ascii="Times New Roman" w:eastAsia="Times New Roman" w:hAnsi="Times New Roman" w:cs="Times New Roman"/>
          <w:i/>
          <w:iCs/>
          <w:color w:val="000000"/>
          <w:kern w:val="0"/>
          <w14:ligatures w14:val="none"/>
        </w:rPr>
        <w:t>Lk</w:t>
      </w:r>
      <w:r w:rsidRPr="00B746E0">
        <w:rPr>
          <w:rFonts w:ascii="Times New Roman" w:eastAsia="Times New Roman" w:hAnsi="Times New Roman" w:cs="Times New Roman"/>
          <w:color w:val="000000"/>
          <w:kern w:val="0"/>
          <w14:ligatures w14:val="none"/>
        </w:rPr>
        <w:t> 9:58). He is, in fact, an itinerant teacher, whose poverty and precariousness are signs of his bond with the Father. They are also conditions for those who wish to follow him on the path of discipleship. In this way, the renunciation of goods, riches and worldly securities becomes a visible sign of entrusting oneself to God and his providence.</w:t>
      </w:r>
    </w:p>
    <w:p w14:paraId="4F4F7F46"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21. At the beginning of his public ministry, Jesus appeared in the synagogue of Nazareth reading the scroll of the prophet Isaiah and applying the prophet’s words to himself: “The Spirit of the Lord is upon me, because he has anointed me to bring good news to the poor” (</w:t>
      </w:r>
      <w:r w:rsidRPr="00B746E0">
        <w:rPr>
          <w:rFonts w:ascii="Times New Roman" w:eastAsia="Times New Roman" w:hAnsi="Times New Roman" w:cs="Times New Roman"/>
          <w:i/>
          <w:iCs/>
          <w:color w:val="000000"/>
          <w:kern w:val="0"/>
          <w14:ligatures w14:val="none"/>
        </w:rPr>
        <w:t>Lk</w:t>
      </w:r>
      <w:r w:rsidRPr="00B746E0">
        <w:rPr>
          <w:rFonts w:ascii="Times New Roman" w:eastAsia="Times New Roman" w:hAnsi="Times New Roman" w:cs="Times New Roman"/>
          <w:color w:val="000000"/>
          <w:kern w:val="0"/>
          <w14:ligatures w14:val="none"/>
        </w:rPr>
        <w:t> 4:18; cf. </w:t>
      </w:r>
      <w:r w:rsidRPr="00B746E0">
        <w:rPr>
          <w:rFonts w:ascii="Times New Roman" w:eastAsia="Times New Roman" w:hAnsi="Times New Roman" w:cs="Times New Roman"/>
          <w:i/>
          <w:iCs/>
          <w:color w:val="000000"/>
          <w:kern w:val="0"/>
          <w14:ligatures w14:val="none"/>
        </w:rPr>
        <w:t>Is</w:t>
      </w:r>
      <w:r w:rsidRPr="00B746E0">
        <w:rPr>
          <w:rFonts w:ascii="Times New Roman" w:eastAsia="Times New Roman" w:hAnsi="Times New Roman" w:cs="Times New Roman"/>
          <w:color w:val="000000"/>
          <w:kern w:val="0"/>
          <w14:ligatures w14:val="none"/>
        </w:rPr>
        <w:t> 61:1). He thus reveals himself as the One who, in the here and now of history, comes to bring about God’s loving closeness, which is above all a work of liberation for those who are prisoners of evil, and for the weak and the poor. The signs that accompany Jesus’ preaching are manifestations of the love and compassion with which God looks upon the sick, the poor and sinners who, because of their condition, were marginalized by society and even people of faith. He opens the eyes of the blind, heals lepers, raises the dead and proclaims the good news to the poor: God is near, God loves you (cf. </w:t>
      </w:r>
      <w:r w:rsidRPr="00B746E0">
        <w:rPr>
          <w:rFonts w:ascii="Times New Roman" w:eastAsia="Times New Roman" w:hAnsi="Times New Roman" w:cs="Times New Roman"/>
          <w:i/>
          <w:iCs/>
          <w:color w:val="000000"/>
          <w:kern w:val="0"/>
          <w14:ligatures w14:val="none"/>
        </w:rPr>
        <w:t>Lk</w:t>
      </w:r>
      <w:r w:rsidRPr="00B746E0">
        <w:rPr>
          <w:rFonts w:ascii="Times New Roman" w:eastAsia="Times New Roman" w:hAnsi="Times New Roman" w:cs="Times New Roman"/>
          <w:color w:val="000000"/>
          <w:kern w:val="0"/>
          <w14:ligatures w14:val="none"/>
        </w:rPr>
        <w:t> 7:22). This explains why he proclaims: “Blessed are you poor, for yours is the kingdom of God” (</w:t>
      </w:r>
      <w:r w:rsidRPr="00B746E0">
        <w:rPr>
          <w:rFonts w:ascii="Times New Roman" w:eastAsia="Times New Roman" w:hAnsi="Times New Roman" w:cs="Times New Roman"/>
          <w:i/>
          <w:iCs/>
          <w:color w:val="000000"/>
          <w:kern w:val="0"/>
          <w14:ligatures w14:val="none"/>
        </w:rPr>
        <w:t>Lk</w:t>
      </w:r>
      <w:r w:rsidRPr="00B746E0">
        <w:rPr>
          <w:rFonts w:ascii="Times New Roman" w:eastAsia="Times New Roman" w:hAnsi="Times New Roman" w:cs="Times New Roman"/>
          <w:color w:val="000000"/>
          <w:kern w:val="0"/>
          <w14:ligatures w14:val="none"/>
        </w:rPr>
        <w:t> 6:20). God shows a preference for the poor: the Lord’s words of hope and liberation are addressed first of all to them. Therefore, even in their poverty or weakness, no one should feel abandoned. And the Church, if she wants to be Christ’s Church, must be a Church of the Beatitudes, one that makes room for the little ones and walks poor with the poor, a place where the poor have a privileged place (cf. </w:t>
      </w:r>
      <w:r w:rsidRPr="00B746E0">
        <w:rPr>
          <w:rFonts w:ascii="Times New Roman" w:eastAsia="Times New Roman" w:hAnsi="Times New Roman" w:cs="Times New Roman"/>
          <w:i/>
          <w:iCs/>
          <w:color w:val="000000"/>
          <w:kern w:val="0"/>
          <w14:ligatures w14:val="none"/>
        </w:rPr>
        <w:t>Jas</w:t>
      </w:r>
      <w:r w:rsidRPr="00B746E0">
        <w:rPr>
          <w:rFonts w:ascii="Times New Roman" w:eastAsia="Times New Roman" w:hAnsi="Times New Roman" w:cs="Times New Roman"/>
          <w:color w:val="000000"/>
          <w:kern w:val="0"/>
          <w14:ligatures w14:val="none"/>
        </w:rPr>
        <w:t> 2:2-4).</w:t>
      </w:r>
    </w:p>
    <w:p w14:paraId="37D279AC"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22. In that time, the needy and the sick, lacking the necessities of life, frequently found themselves forced to beg. They thus bore the added burden of social shame, due to the belief that sickness and poverty were somehow linked to personal sin. Jesus firmly countered this mentality by insisting that God “makes his sun rise on the evil and on the good, and sends rain on the righteous and on the unrighteous” (</w:t>
      </w:r>
      <w:r w:rsidRPr="00B746E0">
        <w:rPr>
          <w:rFonts w:ascii="Times New Roman" w:eastAsia="Times New Roman" w:hAnsi="Times New Roman" w:cs="Times New Roman"/>
          <w:i/>
          <w:iCs/>
          <w:color w:val="000000"/>
          <w:kern w:val="0"/>
          <w14:ligatures w14:val="none"/>
        </w:rPr>
        <w:t>Mt </w:t>
      </w:r>
      <w:r w:rsidRPr="00B746E0">
        <w:rPr>
          <w:rFonts w:ascii="Times New Roman" w:eastAsia="Times New Roman" w:hAnsi="Times New Roman" w:cs="Times New Roman"/>
          <w:color w:val="000000"/>
          <w:kern w:val="0"/>
          <w14:ligatures w14:val="none"/>
        </w:rPr>
        <w:t xml:space="preserve">5:45). Indeed, he completely overturned that notion, as we see from the ending of the parable of the rich man and Lazarus: “Child, remember that during </w:t>
      </w:r>
      <w:r w:rsidRPr="00B746E0">
        <w:rPr>
          <w:rFonts w:ascii="Times New Roman" w:eastAsia="Times New Roman" w:hAnsi="Times New Roman" w:cs="Times New Roman"/>
          <w:color w:val="000000"/>
          <w:kern w:val="0"/>
          <w14:ligatures w14:val="none"/>
        </w:rPr>
        <w:lastRenderedPageBreak/>
        <w:t>your lifetime you received your good things, and Lazarus in like manner evil things; but now he is comforted here, and you are in agony” (</w:t>
      </w:r>
      <w:r w:rsidRPr="00B746E0">
        <w:rPr>
          <w:rFonts w:ascii="Times New Roman" w:eastAsia="Times New Roman" w:hAnsi="Times New Roman" w:cs="Times New Roman"/>
          <w:i/>
          <w:iCs/>
          <w:color w:val="000000"/>
          <w:kern w:val="0"/>
          <w14:ligatures w14:val="none"/>
        </w:rPr>
        <w:t>Lk </w:t>
      </w:r>
      <w:r w:rsidRPr="00B746E0">
        <w:rPr>
          <w:rFonts w:ascii="Times New Roman" w:eastAsia="Times New Roman" w:hAnsi="Times New Roman" w:cs="Times New Roman"/>
          <w:color w:val="000000"/>
          <w:kern w:val="0"/>
          <w14:ligatures w14:val="none"/>
        </w:rPr>
        <w:t>16:25).</w:t>
      </w:r>
    </w:p>
    <w:p w14:paraId="20927BC6"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23. It becomes clear, then, that “our faith in Christ, who became poor, and was always close to the poor and the outcast, is the basis of our concern for the integral development of society’s most neglected members.” </w:t>
      </w:r>
      <w:bookmarkStart w:id="3" w:name="_ftnref15"/>
      <w:r w:rsidRPr="00B746E0">
        <w:rPr>
          <w:rFonts w:ascii="Times New Roman" w:eastAsia="Times New Roman" w:hAnsi="Times New Roman" w:cs="Times New Roman"/>
          <w:color w:val="000000"/>
          <w:kern w:val="0"/>
          <w14:ligatures w14:val="none"/>
        </w:rPr>
        <w:fldChar w:fldCharType="begin"/>
      </w:r>
      <w:r w:rsidRPr="00B746E0">
        <w:rPr>
          <w:rFonts w:ascii="Times New Roman" w:eastAsia="Times New Roman" w:hAnsi="Times New Roman" w:cs="Times New Roman"/>
          <w:color w:val="000000"/>
          <w:kern w:val="0"/>
          <w14:ligatures w14:val="none"/>
        </w:rPr>
        <w:instrText>HYPERLINK "https://www.vatican.va/content/leo-xiv/en/apost_exhortations/documents/20251004-dilexi-te.html" \l "_ftn15"</w:instrText>
      </w:r>
      <w:r w:rsidRPr="00B746E0">
        <w:rPr>
          <w:rFonts w:ascii="Times New Roman" w:eastAsia="Times New Roman" w:hAnsi="Times New Roman" w:cs="Times New Roman"/>
          <w:color w:val="000000"/>
          <w:kern w:val="0"/>
          <w14:ligatures w14:val="none"/>
        </w:rPr>
      </w:r>
      <w:r w:rsidRPr="00B746E0">
        <w:rPr>
          <w:rFonts w:ascii="Times New Roman" w:eastAsia="Times New Roman" w:hAnsi="Times New Roman" w:cs="Times New Roman"/>
          <w:color w:val="000000"/>
          <w:kern w:val="0"/>
          <w14:ligatures w14:val="none"/>
        </w:rPr>
        <w:fldChar w:fldCharType="separate"/>
      </w:r>
      <w:r w:rsidRPr="00B746E0">
        <w:rPr>
          <w:rFonts w:ascii="Times New Roman" w:eastAsia="Times New Roman" w:hAnsi="Times New Roman" w:cs="Times New Roman"/>
          <w:color w:val="765E32"/>
          <w:kern w:val="0"/>
          <w:u w:val="single"/>
          <w14:ligatures w14:val="none"/>
        </w:rPr>
        <w:t>[15]</w:t>
      </w:r>
      <w:r w:rsidRPr="00B746E0">
        <w:rPr>
          <w:rFonts w:ascii="Times New Roman" w:eastAsia="Times New Roman" w:hAnsi="Times New Roman" w:cs="Times New Roman"/>
          <w:color w:val="000000"/>
          <w:kern w:val="0"/>
          <w14:ligatures w14:val="none"/>
        </w:rPr>
        <w:fldChar w:fldCharType="end"/>
      </w:r>
      <w:bookmarkEnd w:id="3"/>
      <w:r w:rsidRPr="00B746E0">
        <w:rPr>
          <w:rFonts w:ascii="Times New Roman" w:eastAsia="Times New Roman" w:hAnsi="Times New Roman" w:cs="Times New Roman"/>
          <w:color w:val="000000"/>
          <w:kern w:val="0"/>
          <w14:ligatures w14:val="none"/>
        </w:rPr>
        <w:t>  I often wonder, even though the teaching of Sacred Scripture is so clear about the poor, why many people continue to think that they can safely disregard the poor. For the moment, though, let us pursue our reflection on what the Scriptures have to tell us about our relationship with the poor and their essential place in the people of God.</w:t>
      </w:r>
    </w:p>
    <w:p w14:paraId="2EA32EED"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i/>
          <w:iCs/>
          <w:color w:val="000000"/>
          <w:kern w:val="0"/>
          <w14:ligatures w14:val="none"/>
        </w:rPr>
        <w:t>Mercy towards the poor in the Bible</w:t>
      </w:r>
    </w:p>
    <w:p w14:paraId="454C0553"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24. The Apostle John writes: “Those who do not love a brother or sister whom they have seen, cannot love God whom they have not seen” (</w:t>
      </w:r>
      <w:r w:rsidRPr="00B746E0">
        <w:rPr>
          <w:rFonts w:ascii="Times New Roman" w:eastAsia="Times New Roman" w:hAnsi="Times New Roman" w:cs="Times New Roman"/>
          <w:i/>
          <w:iCs/>
          <w:color w:val="000000"/>
          <w:kern w:val="0"/>
          <w14:ligatures w14:val="none"/>
        </w:rPr>
        <w:t>1 Jn </w:t>
      </w:r>
      <w:r w:rsidRPr="00B746E0">
        <w:rPr>
          <w:rFonts w:ascii="Times New Roman" w:eastAsia="Times New Roman" w:hAnsi="Times New Roman" w:cs="Times New Roman"/>
          <w:color w:val="000000"/>
          <w:kern w:val="0"/>
          <w14:ligatures w14:val="none"/>
        </w:rPr>
        <w:t>4:20). Similarly, in his reply to the scribe’s question, Jesus quotes the two ancient commandments: “You shall love the Lord your God with all your heart, and with all your soul, and with all your might” (</w:t>
      </w:r>
      <w:r w:rsidRPr="00B746E0">
        <w:rPr>
          <w:rFonts w:ascii="Times New Roman" w:eastAsia="Times New Roman" w:hAnsi="Times New Roman" w:cs="Times New Roman"/>
          <w:i/>
          <w:iCs/>
          <w:color w:val="000000"/>
          <w:kern w:val="0"/>
          <w14:ligatures w14:val="none"/>
        </w:rPr>
        <w:t>Deut </w:t>
      </w:r>
      <w:r w:rsidRPr="00B746E0">
        <w:rPr>
          <w:rFonts w:ascii="Times New Roman" w:eastAsia="Times New Roman" w:hAnsi="Times New Roman" w:cs="Times New Roman"/>
          <w:color w:val="000000"/>
          <w:kern w:val="0"/>
          <w14:ligatures w14:val="none"/>
        </w:rPr>
        <w:t>6:5), and “You shall love your neighbor as yourself” (</w:t>
      </w:r>
      <w:r w:rsidRPr="00B746E0">
        <w:rPr>
          <w:rFonts w:ascii="Times New Roman" w:eastAsia="Times New Roman" w:hAnsi="Times New Roman" w:cs="Times New Roman"/>
          <w:i/>
          <w:iCs/>
          <w:color w:val="000000"/>
          <w:kern w:val="0"/>
          <w14:ligatures w14:val="none"/>
        </w:rPr>
        <w:t>Lev </w:t>
      </w:r>
      <w:r w:rsidRPr="00B746E0">
        <w:rPr>
          <w:rFonts w:ascii="Times New Roman" w:eastAsia="Times New Roman" w:hAnsi="Times New Roman" w:cs="Times New Roman"/>
          <w:color w:val="000000"/>
          <w:kern w:val="0"/>
          <w14:ligatures w14:val="none"/>
        </w:rPr>
        <w:t>19:18), uniting them in a single commandment. The Evangelist Mark reports Jesus’ response in these terms: “The first is, ‘Hear, O Israel: the Lord our God, the Lord is one; you shall love the Lord your God with all your heart, and with all your soul, and with all your mind, and with all your strength.’ The second is this, ‘You shall love your neighbor as yourself.’ There is no other commandment greater than these” (12:29-31).</w:t>
      </w:r>
    </w:p>
    <w:p w14:paraId="10752915"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25. The passage from the Book of Leviticus</w:t>
      </w:r>
      <w:r w:rsidRPr="00B746E0">
        <w:rPr>
          <w:rFonts w:ascii="Times New Roman" w:eastAsia="Times New Roman" w:hAnsi="Times New Roman" w:cs="Times New Roman"/>
          <w:i/>
          <w:iCs/>
          <w:color w:val="000000"/>
          <w:kern w:val="0"/>
          <w14:ligatures w14:val="none"/>
        </w:rPr>
        <w:t> </w:t>
      </w:r>
      <w:r w:rsidRPr="00B746E0">
        <w:rPr>
          <w:rFonts w:ascii="Times New Roman" w:eastAsia="Times New Roman" w:hAnsi="Times New Roman" w:cs="Times New Roman"/>
          <w:color w:val="000000"/>
          <w:kern w:val="0"/>
          <w14:ligatures w14:val="none"/>
        </w:rPr>
        <w:t>teaches love for one’s neighbor, while other texts call for respect — if not also love — even for one’s enemy: “When you come upon your enemy’s ox or donkey going astray, you shall bring it back. When you see the donkey of one who hates you lying under its burden and you would hold back from setting it free, you must help to set it free” (</w:t>
      </w:r>
      <w:r w:rsidRPr="00B746E0">
        <w:rPr>
          <w:rFonts w:ascii="Times New Roman" w:eastAsia="Times New Roman" w:hAnsi="Times New Roman" w:cs="Times New Roman"/>
          <w:i/>
          <w:iCs/>
          <w:color w:val="000000"/>
          <w:kern w:val="0"/>
          <w14:ligatures w14:val="none"/>
        </w:rPr>
        <w:t>Ex </w:t>
      </w:r>
      <w:r w:rsidRPr="00B746E0">
        <w:rPr>
          <w:rFonts w:ascii="Times New Roman" w:eastAsia="Times New Roman" w:hAnsi="Times New Roman" w:cs="Times New Roman"/>
          <w:color w:val="000000"/>
          <w:kern w:val="0"/>
          <w14:ligatures w14:val="none"/>
        </w:rPr>
        <w:t>23:4-5). Here the intrinsic value of respect for others is expressly stated: anyone in need, even an enemy, always deserves our assistance.</w:t>
      </w:r>
    </w:p>
    <w:p w14:paraId="79B5BBA1"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26. Jesus’ teaching on the primacy of love for God is clearly complemented by his insistence that one cannot love God without extending one’s love to the poor. Love for our neighbor is tangible proof of the authenticity of our love for God, as the Apostle John attests: “No one has ever seen God; if we love one another, God lives in us, and his love is perfected in us… God is love, and those who abide in love abide in God, and God abides in them” (</w:t>
      </w:r>
      <w:r w:rsidRPr="00B746E0">
        <w:rPr>
          <w:rFonts w:ascii="Times New Roman" w:eastAsia="Times New Roman" w:hAnsi="Times New Roman" w:cs="Times New Roman"/>
          <w:i/>
          <w:iCs/>
          <w:color w:val="000000"/>
          <w:kern w:val="0"/>
          <w14:ligatures w14:val="none"/>
        </w:rPr>
        <w:t>1 Jn </w:t>
      </w:r>
      <w:r w:rsidRPr="00B746E0">
        <w:rPr>
          <w:rFonts w:ascii="Times New Roman" w:eastAsia="Times New Roman" w:hAnsi="Times New Roman" w:cs="Times New Roman"/>
          <w:color w:val="000000"/>
          <w:kern w:val="0"/>
          <w14:ligatures w14:val="none"/>
        </w:rPr>
        <w:t>4:12,16). The two loves are distinct yet inseparable. Even in cases where there is no explicit reference to God, the Lord himself teaches that every act of love for one’s neighbor is in some way a reflection of divine charity: “Truly I tell you, just as you did it to one of the least of these my brethren, you did it to me” (</w:t>
      </w:r>
      <w:r w:rsidRPr="00B746E0">
        <w:rPr>
          <w:rFonts w:ascii="Times New Roman" w:eastAsia="Times New Roman" w:hAnsi="Times New Roman" w:cs="Times New Roman"/>
          <w:i/>
          <w:iCs/>
          <w:color w:val="000000"/>
          <w:kern w:val="0"/>
          <w14:ligatures w14:val="none"/>
        </w:rPr>
        <w:t>Mt </w:t>
      </w:r>
      <w:r w:rsidRPr="00B746E0">
        <w:rPr>
          <w:rFonts w:ascii="Times New Roman" w:eastAsia="Times New Roman" w:hAnsi="Times New Roman" w:cs="Times New Roman"/>
          <w:color w:val="000000"/>
          <w:kern w:val="0"/>
          <w14:ligatures w14:val="none"/>
        </w:rPr>
        <w:t>25:40).</w:t>
      </w:r>
    </w:p>
    <w:p w14:paraId="4BEC07BF"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 xml:space="preserve">27. For this reason, works of mercy are recommended as a sign of the authenticity of worship, which, while giving praise to God, has the task of opening us to the transformation that the Spirit can bring about in us, so that we may all become an image of Christ and his mercy towards the weakest. In this sense, our relationship with the Lord, expressed in worship, also aims to free us from the risk of living our relationships according to a logic of calculation and self-interest. We are instead open to the gratuitousness that surrounds those who love one another and, therefore, share everything in common. In this regard, Jesus advises: “When you give a dinner or a </w:t>
      </w:r>
      <w:r w:rsidRPr="00B746E0">
        <w:rPr>
          <w:rFonts w:ascii="Times New Roman" w:eastAsia="Times New Roman" w:hAnsi="Times New Roman" w:cs="Times New Roman"/>
          <w:color w:val="000000"/>
          <w:kern w:val="0"/>
          <w14:ligatures w14:val="none"/>
        </w:rPr>
        <w:lastRenderedPageBreak/>
        <w:t>banquet, do not invite your friends or your brothers or your relatives or rich neighbors, lest they also invite you in return, and you be repaid. But when you give a feast, invite the poor, the maimed, the lame, the blind, and you will be blessed, because they cannot repay you” (</w:t>
      </w:r>
      <w:r w:rsidRPr="00B746E0">
        <w:rPr>
          <w:rFonts w:ascii="Times New Roman" w:eastAsia="Times New Roman" w:hAnsi="Times New Roman" w:cs="Times New Roman"/>
          <w:i/>
          <w:iCs/>
          <w:color w:val="000000"/>
          <w:kern w:val="0"/>
          <w14:ligatures w14:val="none"/>
        </w:rPr>
        <w:t>Lk</w:t>
      </w:r>
      <w:r w:rsidRPr="00B746E0">
        <w:rPr>
          <w:rFonts w:ascii="Times New Roman" w:eastAsia="Times New Roman" w:hAnsi="Times New Roman" w:cs="Times New Roman"/>
          <w:color w:val="000000"/>
          <w:kern w:val="0"/>
          <w14:ligatures w14:val="none"/>
        </w:rPr>
        <w:t> 14:12-14).</w:t>
      </w:r>
    </w:p>
    <w:p w14:paraId="38F218C2"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28. The Lord’s appeal to show mercy to the poor culminates in the great parable of the last judgment (cf. </w:t>
      </w:r>
      <w:r w:rsidRPr="00B746E0">
        <w:rPr>
          <w:rFonts w:ascii="Times New Roman" w:eastAsia="Times New Roman" w:hAnsi="Times New Roman" w:cs="Times New Roman"/>
          <w:i/>
          <w:iCs/>
          <w:color w:val="000000"/>
          <w:kern w:val="0"/>
          <w14:ligatures w14:val="none"/>
        </w:rPr>
        <w:t>Mt</w:t>
      </w:r>
      <w:r w:rsidRPr="00B746E0">
        <w:rPr>
          <w:rFonts w:ascii="Times New Roman" w:eastAsia="Times New Roman" w:hAnsi="Times New Roman" w:cs="Times New Roman"/>
          <w:color w:val="000000"/>
          <w:kern w:val="0"/>
          <w14:ligatures w14:val="none"/>
        </w:rPr>
        <w:t> 25:31-46), which can serve as a vivid illustration of the Beatitude of the merciful. In that parable, the Lord offers us the key to our fulfillment in life; indeed, “if we seek the holiness pleasing to God’s eyes, this text offers us one clear criterion on which we will be judged.” </w:t>
      </w:r>
      <w:bookmarkStart w:id="4" w:name="_ftnref16"/>
      <w:r w:rsidRPr="00B746E0">
        <w:rPr>
          <w:rFonts w:ascii="Times New Roman" w:eastAsia="Times New Roman" w:hAnsi="Times New Roman" w:cs="Times New Roman"/>
          <w:color w:val="000000"/>
          <w:kern w:val="0"/>
          <w14:ligatures w14:val="none"/>
        </w:rPr>
        <w:fldChar w:fldCharType="begin"/>
      </w:r>
      <w:r w:rsidRPr="00B746E0">
        <w:rPr>
          <w:rFonts w:ascii="Times New Roman" w:eastAsia="Times New Roman" w:hAnsi="Times New Roman" w:cs="Times New Roman"/>
          <w:color w:val="000000"/>
          <w:kern w:val="0"/>
          <w14:ligatures w14:val="none"/>
        </w:rPr>
        <w:instrText>HYPERLINK "https://www.vatican.va/content/leo-xiv/en/apost_exhortations/documents/20251004-dilexi-te.html" \l "_ftn16"</w:instrText>
      </w:r>
      <w:r w:rsidRPr="00B746E0">
        <w:rPr>
          <w:rFonts w:ascii="Times New Roman" w:eastAsia="Times New Roman" w:hAnsi="Times New Roman" w:cs="Times New Roman"/>
          <w:color w:val="000000"/>
          <w:kern w:val="0"/>
          <w14:ligatures w14:val="none"/>
        </w:rPr>
      </w:r>
      <w:r w:rsidRPr="00B746E0">
        <w:rPr>
          <w:rFonts w:ascii="Times New Roman" w:eastAsia="Times New Roman" w:hAnsi="Times New Roman" w:cs="Times New Roman"/>
          <w:color w:val="000000"/>
          <w:kern w:val="0"/>
          <w14:ligatures w14:val="none"/>
        </w:rPr>
        <w:fldChar w:fldCharType="separate"/>
      </w:r>
      <w:r w:rsidRPr="00B746E0">
        <w:rPr>
          <w:rFonts w:ascii="Times New Roman" w:eastAsia="Times New Roman" w:hAnsi="Times New Roman" w:cs="Times New Roman"/>
          <w:color w:val="765E32"/>
          <w:kern w:val="0"/>
          <w:u w:val="single"/>
          <w14:ligatures w14:val="none"/>
        </w:rPr>
        <w:t>[16]</w:t>
      </w:r>
      <w:r w:rsidRPr="00B746E0">
        <w:rPr>
          <w:rFonts w:ascii="Times New Roman" w:eastAsia="Times New Roman" w:hAnsi="Times New Roman" w:cs="Times New Roman"/>
          <w:color w:val="000000"/>
          <w:kern w:val="0"/>
          <w14:ligatures w14:val="none"/>
        </w:rPr>
        <w:fldChar w:fldCharType="end"/>
      </w:r>
      <w:bookmarkEnd w:id="4"/>
      <w:r w:rsidRPr="00B746E0">
        <w:rPr>
          <w:rFonts w:ascii="Times New Roman" w:eastAsia="Times New Roman" w:hAnsi="Times New Roman" w:cs="Times New Roman"/>
          <w:color w:val="000000"/>
          <w:kern w:val="0"/>
          <w14:ligatures w14:val="none"/>
        </w:rPr>
        <w:t> The clear and forceful words of the Gospel must be put into practice “without any ‘ifs or buts’ that could lessen their force. Our Lord made it very clear that holiness cannot be understood or lived apart from these demands.” </w:t>
      </w:r>
      <w:bookmarkStart w:id="5" w:name="_ftnref17"/>
      <w:r w:rsidRPr="00B746E0">
        <w:rPr>
          <w:rFonts w:ascii="Times New Roman" w:eastAsia="Times New Roman" w:hAnsi="Times New Roman" w:cs="Times New Roman"/>
          <w:color w:val="000000"/>
          <w:kern w:val="0"/>
          <w14:ligatures w14:val="none"/>
        </w:rPr>
        <w:fldChar w:fldCharType="begin"/>
      </w:r>
      <w:r w:rsidRPr="00B746E0">
        <w:rPr>
          <w:rFonts w:ascii="Times New Roman" w:eastAsia="Times New Roman" w:hAnsi="Times New Roman" w:cs="Times New Roman"/>
          <w:color w:val="000000"/>
          <w:kern w:val="0"/>
          <w14:ligatures w14:val="none"/>
        </w:rPr>
        <w:instrText>HYPERLINK "https://www.vatican.va/content/leo-xiv/en/apost_exhortations/documents/20251004-dilexi-te.html" \l "_ftn17"</w:instrText>
      </w:r>
      <w:r w:rsidRPr="00B746E0">
        <w:rPr>
          <w:rFonts w:ascii="Times New Roman" w:eastAsia="Times New Roman" w:hAnsi="Times New Roman" w:cs="Times New Roman"/>
          <w:color w:val="000000"/>
          <w:kern w:val="0"/>
          <w14:ligatures w14:val="none"/>
        </w:rPr>
      </w:r>
      <w:r w:rsidRPr="00B746E0">
        <w:rPr>
          <w:rFonts w:ascii="Times New Roman" w:eastAsia="Times New Roman" w:hAnsi="Times New Roman" w:cs="Times New Roman"/>
          <w:color w:val="000000"/>
          <w:kern w:val="0"/>
          <w14:ligatures w14:val="none"/>
        </w:rPr>
        <w:fldChar w:fldCharType="separate"/>
      </w:r>
      <w:r w:rsidRPr="00B746E0">
        <w:rPr>
          <w:rFonts w:ascii="Times New Roman" w:eastAsia="Times New Roman" w:hAnsi="Times New Roman" w:cs="Times New Roman"/>
          <w:color w:val="765E32"/>
          <w:kern w:val="0"/>
          <w:u w:val="single"/>
          <w14:ligatures w14:val="none"/>
        </w:rPr>
        <w:t>[17]</w:t>
      </w:r>
      <w:r w:rsidRPr="00B746E0">
        <w:rPr>
          <w:rFonts w:ascii="Times New Roman" w:eastAsia="Times New Roman" w:hAnsi="Times New Roman" w:cs="Times New Roman"/>
          <w:color w:val="000000"/>
          <w:kern w:val="0"/>
          <w14:ligatures w14:val="none"/>
        </w:rPr>
        <w:fldChar w:fldCharType="end"/>
      </w:r>
      <w:bookmarkEnd w:id="5"/>
    </w:p>
    <w:p w14:paraId="3AAC934F"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29. In the early Christian community, acts of charity were performed on the basis not of preliminary studies or advance planning, but directly following Jesus’ example as presented in the Gospel. The Letter of James</w:t>
      </w:r>
      <w:r w:rsidRPr="00B746E0">
        <w:rPr>
          <w:rFonts w:ascii="Times New Roman" w:eastAsia="Times New Roman" w:hAnsi="Times New Roman" w:cs="Times New Roman"/>
          <w:i/>
          <w:iCs/>
          <w:color w:val="000000"/>
          <w:kern w:val="0"/>
          <w14:ligatures w14:val="none"/>
        </w:rPr>
        <w:t> </w:t>
      </w:r>
      <w:r w:rsidRPr="00B746E0">
        <w:rPr>
          <w:rFonts w:ascii="Times New Roman" w:eastAsia="Times New Roman" w:hAnsi="Times New Roman" w:cs="Times New Roman"/>
          <w:color w:val="000000"/>
          <w:kern w:val="0"/>
          <w14:ligatures w14:val="none"/>
        </w:rPr>
        <w:t>deals at length with the problem of relations between rich and poor, and asks the faithful two questions in order to examine the authenticity of their faith: “What good is it, my brothers and sisters, if you say you have faith but do not have works? Can faith save you? If a brother or sister is naked and lacks daily food, and one of you says to them, ‘Go in peace; keep warm and eat your fill,’ and yet you do not supply their bodily needs, what is the good of that? So faith by itself, if it has no works, is dead” (2:14-17).</w:t>
      </w:r>
    </w:p>
    <w:p w14:paraId="099C0675"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30. James goes on to say: “Your gold and silver have rusted, and their rust will be evidence against you, and it will eat your flesh like fire. You have laid up treasure for the last days. Listen! The wages of the laborers who mowed your fields, which you kept back by fraud, cry out, and the cries of the harvesters have reached the ears of the Lord of hosts. You have lived on the earth in luxury and in pleasure; you have fattened your hearts in a day of slaughter” (5:3-5). These are powerful words, even if we would rather not hear them! A similar appeal can be found in the First Letter of John: “How does God’s love abide in anyone who has the world’s goods and sees a brother or sister in need and yet refuses help?” (3:17).</w:t>
      </w:r>
    </w:p>
    <w:p w14:paraId="41B0784B"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31. The message of God’s word is “so clear and direct, so simple and eloquent, that no ecclesial interpretation has the right to relativize it. The Church’s reflection on these texts ought not to obscure or weaken their force, but urge us to accept their exhortations with courage and zeal. Why complicate something so simple? Conceptual tools exist to heighten contact with the realities they seek to explain, not to distance us from them.” </w:t>
      </w:r>
      <w:bookmarkStart w:id="6" w:name="_ftnref18"/>
      <w:r w:rsidRPr="00B746E0">
        <w:rPr>
          <w:rFonts w:ascii="Times New Roman" w:eastAsia="Times New Roman" w:hAnsi="Times New Roman" w:cs="Times New Roman"/>
          <w:color w:val="000000"/>
          <w:kern w:val="0"/>
          <w14:ligatures w14:val="none"/>
        </w:rPr>
        <w:fldChar w:fldCharType="begin"/>
      </w:r>
      <w:r w:rsidRPr="00B746E0">
        <w:rPr>
          <w:rFonts w:ascii="Times New Roman" w:eastAsia="Times New Roman" w:hAnsi="Times New Roman" w:cs="Times New Roman"/>
          <w:color w:val="000000"/>
          <w:kern w:val="0"/>
          <w14:ligatures w14:val="none"/>
        </w:rPr>
        <w:instrText>HYPERLINK "https://www.vatican.va/content/leo-xiv/en/apost_exhortations/documents/20251004-dilexi-te.html" \l "_ftn18"</w:instrText>
      </w:r>
      <w:r w:rsidRPr="00B746E0">
        <w:rPr>
          <w:rFonts w:ascii="Times New Roman" w:eastAsia="Times New Roman" w:hAnsi="Times New Roman" w:cs="Times New Roman"/>
          <w:color w:val="000000"/>
          <w:kern w:val="0"/>
          <w14:ligatures w14:val="none"/>
        </w:rPr>
      </w:r>
      <w:r w:rsidRPr="00B746E0">
        <w:rPr>
          <w:rFonts w:ascii="Times New Roman" w:eastAsia="Times New Roman" w:hAnsi="Times New Roman" w:cs="Times New Roman"/>
          <w:color w:val="000000"/>
          <w:kern w:val="0"/>
          <w14:ligatures w14:val="none"/>
        </w:rPr>
        <w:fldChar w:fldCharType="separate"/>
      </w:r>
      <w:r w:rsidRPr="00B746E0">
        <w:rPr>
          <w:rFonts w:ascii="Times New Roman" w:eastAsia="Times New Roman" w:hAnsi="Times New Roman" w:cs="Times New Roman"/>
          <w:color w:val="765E32"/>
          <w:kern w:val="0"/>
          <w:u w:val="single"/>
          <w14:ligatures w14:val="none"/>
        </w:rPr>
        <w:t>[18]</w:t>
      </w:r>
      <w:r w:rsidRPr="00B746E0">
        <w:rPr>
          <w:rFonts w:ascii="Times New Roman" w:eastAsia="Times New Roman" w:hAnsi="Times New Roman" w:cs="Times New Roman"/>
          <w:color w:val="000000"/>
          <w:kern w:val="0"/>
          <w14:ligatures w14:val="none"/>
        </w:rPr>
        <w:fldChar w:fldCharType="end"/>
      </w:r>
      <w:bookmarkEnd w:id="6"/>
    </w:p>
    <w:p w14:paraId="2A039B28"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32. Indeed, we find a clear ecclesial example of sharing goods and caring for the poor in the daily life of the first Christian community. We can recall in particular the way in which the question of the daily distribution of subsidies to widows was resolved (cf. </w:t>
      </w:r>
      <w:r w:rsidRPr="00B746E0">
        <w:rPr>
          <w:rFonts w:ascii="Times New Roman" w:eastAsia="Times New Roman" w:hAnsi="Times New Roman" w:cs="Times New Roman"/>
          <w:i/>
          <w:iCs/>
          <w:color w:val="000000"/>
          <w:kern w:val="0"/>
          <w14:ligatures w14:val="none"/>
        </w:rPr>
        <w:t>Acts</w:t>
      </w:r>
      <w:r w:rsidRPr="00B746E0">
        <w:rPr>
          <w:rFonts w:ascii="Times New Roman" w:eastAsia="Times New Roman" w:hAnsi="Times New Roman" w:cs="Times New Roman"/>
          <w:color w:val="000000"/>
          <w:kern w:val="0"/>
          <w14:ligatures w14:val="none"/>
        </w:rPr>
        <w:t xml:space="preserve"> 6:1-6). This was not an easy problem, partly because some of these widows, who came from other countries, were sometimes neglected because they were foreigners. In fact, the episode recounted in the Acts of the Apostles highlights a certain discontent on the part of the Hellenists, the Jews who were culturally Greek. The Apostles do not respond with abstract words, but by placing charity towards all at the center, reorganizing assistance to widows by asking the community to seek </w:t>
      </w:r>
      <w:r w:rsidRPr="00B746E0">
        <w:rPr>
          <w:rFonts w:ascii="Times New Roman" w:eastAsia="Times New Roman" w:hAnsi="Times New Roman" w:cs="Times New Roman"/>
          <w:color w:val="000000"/>
          <w:kern w:val="0"/>
          <w14:ligatures w14:val="none"/>
        </w:rPr>
        <w:lastRenderedPageBreak/>
        <w:t>wise and respected people to whom they could entrust food distribution, while they take care of preaching the Word.</w:t>
      </w:r>
    </w:p>
    <w:p w14:paraId="67641310"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33. When Paul went to Jerusalem to consult the Apostles lest somehow he “should be running or had run in vain” (</w:t>
      </w:r>
      <w:r w:rsidRPr="00B746E0">
        <w:rPr>
          <w:rFonts w:ascii="Times New Roman" w:eastAsia="Times New Roman" w:hAnsi="Times New Roman" w:cs="Times New Roman"/>
          <w:i/>
          <w:iCs/>
          <w:color w:val="000000"/>
          <w:kern w:val="0"/>
          <w14:ligatures w14:val="none"/>
        </w:rPr>
        <w:t>Gal</w:t>
      </w:r>
      <w:r w:rsidRPr="00B746E0">
        <w:rPr>
          <w:rFonts w:ascii="Times New Roman" w:eastAsia="Times New Roman" w:hAnsi="Times New Roman" w:cs="Times New Roman"/>
          <w:color w:val="000000"/>
          <w:kern w:val="0"/>
          <w14:ligatures w14:val="none"/>
        </w:rPr>
        <w:t> 2:2), he was asked not to forget the poor (cf. </w:t>
      </w:r>
      <w:r w:rsidRPr="00B746E0">
        <w:rPr>
          <w:rFonts w:ascii="Times New Roman" w:eastAsia="Times New Roman" w:hAnsi="Times New Roman" w:cs="Times New Roman"/>
          <w:i/>
          <w:iCs/>
          <w:color w:val="000000"/>
          <w:kern w:val="0"/>
          <w14:ligatures w14:val="none"/>
        </w:rPr>
        <w:t>Gal</w:t>
      </w:r>
      <w:r w:rsidRPr="00B746E0">
        <w:rPr>
          <w:rFonts w:ascii="Times New Roman" w:eastAsia="Times New Roman" w:hAnsi="Times New Roman" w:cs="Times New Roman"/>
          <w:color w:val="000000"/>
          <w:kern w:val="0"/>
          <w14:ligatures w14:val="none"/>
        </w:rPr>
        <w:t> 2:10). Therefore, he organized various collections in order to help the poor communities. Among the reasons for which Paul makes this gesture, the following stands out: “God loves a cheerful giver” (</w:t>
      </w:r>
      <w:r w:rsidRPr="00B746E0">
        <w:rPr>
          <w:rFonts w:ascii="Times New Roman" w:eastAsia="Times New Roman" w:hAnsi="Times New Roman" w:cs="Times New Roman"/>
          <w:i/>
          <w:iCs/>
          <w:color w:val="000000"/>
          <w:kern w:val="0"/>
          <w14:ligatures w14:val="none"/>
        </w:rPr>
        <w:t>2 Cor </w:t>
      </w:r>
      <w:r w:rsidRPr="00B746E0">
        <w:rPr>
          <w:rFonts w:ascii="Times New Roman" w:eastAsia="Times New Roman" w:hAnsi="Times New Roman" w:cs="Times New Roman"/>
          <w:color w:val="000000"/>
          <w:kern w:val="0"/>
          <w14:ligatures w14:val="none"/>
        </w:rPr>
        <w:t>9:7). The word of God reminds those of us not normally prone to benevolent and disinterested gestures, that generosity to the poor actually benefits those who exercise it: God has a special love for them. In fact, the Bible is full of promises addressed to those who give generously to others: “Whoever is kind to the poor lends to the Lord, and will be repaid in full” (</w:t>
      </w:r>
      <w:r w:rsidRPr="00B746E0">
        <w:rPr>
          <w:rFonts w:ascii="Times New Roman" w:eastAsia="Times New Roman" w:hAnsi="Times New Roman" w:cs="Times New Roman"/>
          <w:i/>
          <w:iCs/>
          <w:color w:val="000000"/>
          <w:kern w:val="0"/>
          <w14:ligatures w14:val="none"/>
        </w:rPr>
        <w:t>Prov </w:t>
      </w:r>
      <w:r w:rsidRPr="00B746E0">
        <w:rPr>
          <w:rFonts w:ascii="Times New Roman" w:eastAsia="Times New Roman" w:hAnsi="Times New Roman" w:cs="Times New Roman"/>
          <w:color w:val="000000"/>
          <w:kern w:val="0"/>
          <w14:ligatures w14:val="none"/>
        </w:rPr>
        <w:t>19:17). “Give, and it will be given to you... for the measure you give will be the measure you get back” (</w:t>
      </w:r>
      <w:r w:rsidRPr="00B746E0">
        <w:rPr>
          <w:rFonts w:ascii="Times New Roman" w:eastAsia="Times New Roman" w:hAnsi="Times New Roman" w:cs="Times New Roman"/>
          <w:i/>
          <w:iCs/>
          <w:color w:val="000000"/>
          <w:kern w:val="0"/>
          <w14:ligatures w14:val="none"/>
        </w:rPr>
        <w:t>Lk </w:t>
      </w:r>
      <w:r w:rsidRPr="00B746E0">
        <w:rPr>
          <w:rFonts w:ascii="Times New Roman" w:eastAsia="Times New Roman" w:hAnsi="Times New Roman" w:cs="Times New Roman"/>
          <w:color w:val="000000"/>
          <w:kern w:val="0"/>
          <w14:ligatures w14:val="none"/>
        </w:rPr>
        <w:t>6:38). “Then your light shall break forth like the dawn, and your healing shall spring up quickly” (</w:t>
      </w:r>
      <w:r w:rsidRPr="00B746E0">
        <w:rPr>
          <w:rFonts w:ascii="Times New Roman" w:eastAsia="Times New Roman" w:hAnsi="Times New Roman" w:cs="Times New Roman"/>
          <w:i/>
          <w:iCs/>
          <w:color w:val="000000"/>
          <w:kern w:val="0"/>
          <w14:ligatures w14:val="none"/>
        </w:rPr>
        <w:t>Is </w:t>
      </w:r>
      <w:r w:rsidRPr="00B746E0">
        <w:rPr>
          <w:rFonts w:ascii="Times New Roman" w:eastAsia="Times New Roman" w:hAnsi="Times New Roman" w:cs="Times New Roman"/>
          <w:color w:val="000000"/>
          <w:kern w:val="0"/>
          <w14:ligatures w14:val="none"/>
        </w:rPr>
        <w:t>58:8). Of this, the early Christians had no doubt.</w:t>
      </w:r>
    </w:p>
    <w:p w14:paraId="053C3C3C" w14:textId="77777777" w:rsidR="00B746E0" w:rsidRPr="00B746E0" w:rsidRDefault="00B746E0" w:rsidP="00B746E0">
      <w:pPr>
        <w:shd w:val="clear" w:color="auto" w:fill="FFFFFF"/>
        <w:spacing w:after="100" w:afterAutospacing="1" w:line="240" w:lineRule="auto"/>
        <w:rPr>
          <w:rFonts w:ascii="Times New Roman" w:eastAsia="Times New Roman" w:hAnsi="Times New Roman" w:cs="Times New Roman"/>
          <w:color w:val="000000"/>
          <w:kern w:val="0"/>
          <w14:ligatures w14:val="none"/>
        </w:rPr>
      </w:pPr>
      <w:r w:rsidRPr="00B746E0">
        <w:rPr>
          <w:rFonts w:ascii="Times New Roman" w:eastAsia="Times New Roman" w:hAnsi="Times New Roman" w:cs="Times New Roman"/>
          <w:color w:val="000000"/>
          <w:kern w:val="0"/>
          <w14:ligatures w14:val="none"/>
        </w:rPr>
        <w:t>34. The life of the first ecclesial communities, described in the pages of the Bible and handed down to us as God’s revealed word, has been given to us as an example to imitate, but also as a witness to the faith that works through charity and an enduring inspiration for generations yet to come. Throughout the centuries, those pages have moved the hearts of Christians to love and to perform works of charity, which, like fruitful seeds, never cease to produce a rich harvest.</w:t>
      </w:r>
    </w:p>
    <w:p w14:paraId="72DF8117" w14:textId="77777777" w:rsidR="00B746E0" w:rsidRPr="00B746E0" w:rsidRDefault="00B746E0" w:rsidP="00B746E0">
      <w:pPr>
        <w:rPr>
          <w:rFonts w:ascii="Aptos" w:eastAsia="Aptos" w:hAnsi="Aptos" w:cs="Times New Roman"/>
        </w:rPr>
      </w:pPr>
    </w:p>
    <w:p w14:paraId="5E1BF3A9" w14:textId="77777777" w:rsidR="00B746E0" w:rsidRDefault="00B746E0"/>
    <w:sectPr w:rsidR="00B746E0" w:rsidSect="00B746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E0"/>
    <w:rsid w:val="00B746E0"/>
    <w:rsid w:val="00E25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39F0B"/>
  <w15:chartTrackingRefBased/>
  <w15:docId w15:val="{B761E51F-8EE1-422C-B11D-4E935A23C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6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6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6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6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6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6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6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6E0"/>
    <w:rPr>
      <w:rFonts w:eastAsiaTheme="majorEastAsia" w:cstheme="majorBidi"/>
      <w:color w:val="272727" w:themeColor="text1" w:themeTint="D8"/>
    </w:rPr>
  </w:style>
  <w:style w:type="paragraph" w:styleId="Title">
    <w:name w:val="Title"/>
    <w:basedOn w:val="Normal"/>
    <w:next w:val="Normal"/>
    <w:link w:val="TitleChar"/>
    <w:uiPriority w:val="10"/>
    <w:qFormat/>
    <w:rsid w:val="00B74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6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6E0"/>
    <w:pPr>
      <w:spacing w:before="160"/>
      <w:jc w:val="center"/>
    </w:pPr>
    <w:rPr>
      <w:i/>
      <w:iCs/>
      <w:color w:val="404040" w:themeColor="text1" w:themeTint="BF"/>
    </w:rPr>
  </w:style>
  <w:style w:type="character" w:customStyle="1" w:styleId="QuoteChar">
    <w:name w:val="Quote Char"/>
    <w:basedOn w:val="DefaultParagraphFont"/>
    <w:link w:val="Quote"/>
    <w:uiPriority w:val="29"/>
    <w:rsid w:val="00B746E0"/>
    <w:rPr>
      <w:i/>
      <w:iCs/>
      <w:color w:val="404040" w:themeColor="text1" w:themeTint="BF"/>
    </w:rPr>
  </w:style>
  <w:style w:type="paragraph" w:styleId="ListParagraph">
    <w:name w:val="List Paragraph"/>
    <w:basedOn w:val="Normal"/>
    <w:uiPriority w:val="34"/>
    <w:qFormat/>
    <w:rsid w:val="00B746E0"/>
    <w:pPr>
      <w:ind w:left="720"/>
      <w:contextualSpacing/>
    </w:pPr>
  </w:style>
  <w:style w:type="character" w:styleId="IntenseEmphasis">
    <w:name w:val="Intense Emphasis"/>
    <w:basedOn w:val="DefaultParagraphFont"/>
    <w:uiPriority w:val="21"/>
    <w:qFormat/>
    <w:rsid w:val="00B746E0"/>
    <w:rPr>
      <w:i/>
      <w:iCs/>
      <w:color w:val="0F4761" w:themeColor="accent1" w:themeShade="BF"/>
    </w:rPr>
  </w:style>
  <w:style w:type="paragraph" w:styleId="IntenseQuote">
    <w:name w:val="Intense Quote"/>
    <w:basedOn w:val="Normal"/>
    <w:next w:val="Normal"/>
    <w:link w:val="IntenseQuoteChar"/>
    <w:uiPriority w:val="30"/>
    <w:qFormat/>
    <w:rsid w:val="00B74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6E0"/>
    <w:rPr>
      <w:i/>
      <w:iCs/>
      <w:color w:val="0F4761" w:themeColor="accent1" w:themeShade="BF"/>
    </w:rPr>
  </w:style>
  <w:style w:type="character" w:styleId="IntenseReference">
    <w:name w:val="Intense Reference"/>
    <w:basedOn w:val="DefaultParagraphFont"/>
    <w:uiPriority w:val="32"/>
    <w:qFormat/>
    <w:rsid w:val="00B746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aticannews.va/en/saints/06/29/saint-paul--apostle-of-the-city-of-r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2547</Words>
  <Characters>14520</Characters>
  <Application>Microsoft Office Word</Application>
  <DocSecurity>0</DocSecurity>
  <Lines>121</Lines>
  <Paragraphs>34</Paragraphs>
  <ScaleCrop>false</ScaleCrop>
  <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 Corwin</dc:creator>
  <cp:keywords/>
  <dc:description/>
  <cp:lastModifiedBy>Cate Corwin</cp:lastModifiedBy>
  <cp:revision>1</cp:revision>
  <dcterms:created xsi:type="dcterms:W3CDTF">2026-05-06T15:29:00Z</dcterms:created>
  <dcterms:modified xsi:type="dcterms:W3CDTF">2026-05-06T15:30:00Z</dcterms:modified>
</cp:coreProperties>
</file>